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6257C53D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9E1A44">
        <w:rPr>
          <w:bCs/>
          <w:noProof w:val="0"/>
          <w:sz w:val="24"/>
          <w:szCs w:val="24"/>
        </w:rPr>
        <w:t>2111160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9C9D3A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9E1A44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120497">
        <w:rPr>
          <w:rFonts w:cs="Arial"/>
          <w:b/>
          <w:bCs/>
          <w:sz w:val="24"/>
          <w:szCs w:val="24"/>
        </w:rPr>
        <w:t>9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8260A7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UE features for </w:t>
      </w:r>
      <w:r w:rsidR="009460A3" w:rsidRPr="009460A3">
        <w:rPr>
          <w:rFonts w:ascii="Arial" w:hAnsi="Arial" w:cs="Arial"/>
          <w:b/>
          <w:bCs/>
          <w:sz w:val="24"/>
        </w:rPr>
        <w:t>NB-IoT and LTE-MTC enhancements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755E120A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9460A3" w:rsidRPr="002D4D40">
        <w:t>NB-IoT and LTE-MTC enhancements</w:t>
      </w:r>
      <w:r w:rsidR="006C27C9">
        <w:t xml:space="preserve">.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450D5B68" w:rsidR="001F201D" w:rsidRDefault="006C27C9" w:rsidP="001F201D">
      <w:r>
        <w:t xml:space="preserve">Detailed comments on UE features are listed below. For reference, the </w:t>
      </w:r>
      <w:r w:rsidR="00266714">
        <w:t xml:space="preserve">baseline agreements from RAN1#106bis are </w:t>
      </w:r>
      <w:r>
        <w:t xml:space="preserve">available in the Annex. </w:t>
      </w:r>
    </w:p>
    <w:p w14:paraId="4B125483" w14:textId="2140BC8F" w:rsidR="006C27C9" w:rsidRPr="00424FD5" w:rsidRDefault="00424FD5" w:rsidP="00424FD5">
      <w:pPr>
        <w:pStyle w:val="ListParagraph"/>
        <w:numPr>
          <w:ilvl w:val="0"/>
          <w:numId w:val="32"/>
        </w:numPr>
        <w:rPr>
          <w:sz w:val="20"/>
          <w:szCs w:val="20"/>
        </w:rPr>
      </w:pPr>
      <w:proofErr w:type="spellStart"/>
      <w:r w:rsidRPr="00424FD5">
        <w:rPr>
          <w:b/>
          <w:bCs/>
          <w:sz w:val="20"/>
          <w:szCs w:val="20"/>
        </w:rPr>
        <w:t>FGs</w:t>
      </w:r>
      <w:proofErr w:type="spellEnd"/>
      <w:r w:rsidRPr="00424FD5">
        <w:rPr>
          <w:b/>
          <w:bCs/>
          <w:sz w:val="20"/>
          <w:szCs w:val="20"/>
        </w:rPr>
        <w:t xml:space="preserve"> 1-1, 1-2, 1-3, 1-4</w:t>
      </w:r>
      <w:r w:rsidRPr="00424FD5">
        <w:rPr>
          <w:sz w:val="20"/>
          <w:szCs w:val="20"/>
        </w:rPr>
        <w:t>: per UE</w:t>
      </w:r>
    </w:p>
    <w:p w14:paraId="7BE11F7A" w14:textId="70B75854" w:rsidR="00424FD5" w:rsidRPr="00424FD5" w:rsidRDefault="00424FD5" w:rsidP="00424FD5">
      <w:pPr>
        <w:pStyle w:val="ListParagraph"/>
        <w:numPr>
          <w:ilvl w:val="0"/>
          <w:numId w:val="32"/>
        </w:numPr>
        <w:contextualSpacing w:val="0"/>
        <w:rPr>
          <w:rFonts w:eastAsiaTheme="minorEastAsia"/>
          <w:sz w:val="20"/>
          <w:szCs w:val="20"/>
          <w:lang w:val="en-US"/>
        </w:rPr>
      </w:pPr>
      <w:r w:rsidRPr="00424FD5">
        <w:rPr>
          <w:b/>
          <w:bCs/>
          <w:sz w:val="20"/>
          <w:szCs w:val="20"/>
          <w:lang w:val="en-US"/>
        </w:rPr>
        <w:t>For component 3 in FG 1-3</w:t>
      </w:r>
      <w:r w:rsidRPr="00424FD5">
        <w:rPr>
          <w:sz w:val="20"/>
          <w:szCs w:val="20"/>
          <w:lang w:val="en-US"/>
        </w:rPr>
        <w:t xml:space="preserve">, select option 2, </w:t>
      </w:r>
      <w:proofErr w:type="gramStart"/>
      <w:r w:rsidRPr="00424FD5">
        <w:rPr>
          <w:sz w:val="20"/>
          <w:szCs w:val="20"/>
          <w:lang w:val="en-US"/>
        </w:rPr>
        <w:t>i.e.</w:t>
      </w:r>
      <w:proofErr w:type="gramEnd"/>
      <w:r w:rsidRPr="00424FD5">
        <w:rPr>
          <w:sz w:val="20"/>
          <w:szCs w:val="20"/>
          <w:lang w:val="en-US"/>
        </w:rPr>
        <w:t xml:space="preserve"> UE supports both Alt-1 and Alt-2e</w:t>
      </w:r>
    </w:p>
    <w:p w14:paraId="4B8E869A" w14:textId="77777777" w:rsidR="00424FD5" w:rsidRDefault="00424FD5" w:rsidP="00424FD5">
      <w:pPr>
        <w:pStyle w:val="ListParagraph"/>
      </w:pPr>
    </w:p>
    <w:p w14:paraId="64D1CDBD" w14:textId="041CB3FF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504D5475" w:rsidR="001337A5" w:rsidRDefault="006C27C9" w:rsidP="001F201D">
      <w:r>
        <w:t xml:space="preserve">In this contribution we have presented our views on UE features for </w:t>
      </w:r>
      <w:r w:rsidR="009460A3" w:rsidRPr="002D4D40">
        <w:t>NB-IoT and LTE-MTC enhancements</w:t>
      </w:r>
      <w:r>
        <w:t>, with the following proposal:</w:t>
      </w:r>
    </w:p>
    <w:p w14:paraId="029018C4" w14:textId="2DF690A7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3C4704ED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9EE89" w14:textId="77777777" w:rsidR="00424FD5" w:rsidRDefault="00424FD5" w:rsidP="00424FD5">
      <w:pPr>
        <w:spacing w:afterLines="50" w:after="120"/>
        <w:jc w:val="both"/>
        <w:rPr>
          <w:sz w:val="22"/>
          <w:lang w:val="en-US"/>
        </w:rPr>
      </w:pPr>
    </w:p>
    <w:p w14:paraId="4240E133" w14:textId="77777777" w:rsidR="00424FD5" w:rsidRPr="001802DF" w:rsidRDefault="00424FD5" w:rsidP="00424FD5">
      <w:pPr>
        <w:rPr>
          <w:rFonts w:eastAsia="Yu Gothic" w:cs="Times"/>
          <w:b/>
          <w:bCs/>
          <w:highlight w:val="green"/>
          <w:lang w:val="en-US"/>
        </w:rPr>
      </w:pPr>
      <w:r w:rsidRPr="001802DF">
        <w:rPr>
          <w:rFonts w:cs="Times"/>
          <w:b/>
          <w:bCs/>
          <w:highlight w:val="green"/>
        </w:rPr>
        <w:t xml:space="preserve">Agreement </w:t>
      </w:r>
    </w:p>
    <w:p w14:paraId="4E0C3CCA" w14:textId="77777777" w:rsidR="00424FD5" w:rsidRPr="001802DF" w:rsidRDefault="00424FD5" w:rsidP="00424FD5">
      <w:pPr>
        <w:rPr>
          <w:rFonts w:cs="Times"/>
          <w:color w:val="000000"/>
        </w:rPr>
      </w:pPr>
      <w:r w:rsidRPr="001802DF">
        <w:rPr>
          <w:rFonts w:cs="Times"/>
          <w:bCs/>
        </w:rPr>
        <w:t>FG 1-3 is kept as “14 HARQ processes for PDSCH for HD-FDD Cat. M1 UEs” as follows</w:t>
      </w:r>
      <w:r>
        <w:rPr>
          <w:rFonts w:cs="Times"/>
          <w:bCs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4"/>
        <w:gridCol w:w="400"/>
        <w:gridCol w:w="1924"/>
        <w:gridCol w:w="3285"/>
        <w:gridCol w:w="2026"/>
        <w:gridCol w:w="527"/>
        <w:gridCol w:w="517"/>
        <w:gridCol w:w="1940"/>
        <w:gridCol w:w="566"/>
        <w:gridCol w:w="674"/>
        <w:gridCol w:w="517"/>
        <w:gridCol w:w="5033"/>
        <w:gridCol w:w="1396"/>
      </w:tblGrid>
      <w:tr w:rsidR="00424FD5" w:rsidRPr="00402BEF" w14:paraId="49340B30" w14:textId="77777777" w:rsidTr="006E2AE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4F45D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1. NB_IOTenh4_LTE_eMTC6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F6B9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1-3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FC84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14 HARQ processes for PDSCH for HD-FDD Cat. M1 UEs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39487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1. Support of 14 DL HARQ processes for unicast in HD-FDD in CE mode A in RRC_CONNECTED</w:t>
            </w:r>
          </w:p>
          <w:p w14:paraId="31C5CA32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2. PDSCH scheduling delay</w:t>
            </w:r>
          </w:p>
          <w:p w14:paraId="0BEAC120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  <w:highlight w:val="yellow"/>
              </w:rPr>
              <w:t>3. HARQ-ACK delay solution with Alt-1 and Alt-2e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9DC0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1. Category M1</w:t>
            </w:r>
          </w:p>
          <w:p w14:paraId="3453A046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2. HD-FDD</w:t>
            </w:r>
          </w:p>
          <w:p w14:paraId="073868E3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3. CE Mode A</w:t>
            </w:r>
          </w:p>
          <w:p w14:paraId="1A1C7C92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4. Support of 10 DL HARQ processes in HD-FDD in CE mode A</w:t>
            </w:r>
          </w:p>
          <w:p w14:paraId="51E3B80B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5. HARQ-ACK bundling support in HD-FDD in CE mode A</w:t>
            </w:r>
          </w:p>
          <w:p w14:paraId="2818510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EA2F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DDD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A054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The network cannot enable 14 HARQ processes for the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E8FD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Per 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0A5A3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FDD only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F2E17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F3F6" w14:textId="77777777" w:rsidR="00424FD5" w:rsidRPr="00402BEF" w:rsidRDefault="00424FD5" w:rsidP="00424FD5">
            <w:pPr>
              <w:keepNext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  <w:lang w:val="en-US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PDSCH scheduling delay:</w:t>
            </w:r>
          </w:p>
          <w:p w14:paraId="79D6E268" w14:textId="77777777" w:rsidR="00424FD5" w:rsidRPr="00402BEF" w:rsidRDefault="00424FD5" w:rsidP="00424FD5">
            <w:pPr>
              <w:keepNext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2 BL/CE DL subframes.</w:t>
            </w:r>
          </w:p>
          <w:p w14:paraId="43B898E8" w14:textId="77777777" w:rsidR="00424FD5" w:rsidRPr="00402BEF" w:rsidRDefault="00424FD5" w:rsidP="00424FD5">
            <w:pPr>
              <w:keepNext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1 BL/CE DL subframe + 1 subframe + 3 BL/CE UL subframes + 1 subframe + 1 BL/CE DL subframe.</w:t>
            </w:r>
          </w:p>
          <w:p w14:paraId="1BCED021" w14:textId="77777777" w:rsidR="00424FD5" w:rsidRPr="00402BEF" w:rsidRDefault="00424FD5" w:rsidP="00424FD5">
            <w:pPr>
              <w:keepNext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1 subframe + 3 BL/CE UL subframes + 1 subframe + 2 BL/CE DL subframes.</w:t>
            </w:r>
          </w:p>
          <w:p w14:paraId="68133F47" w14:textId="77777777" w:rsidR="00424FD5" w:rsidRPr="00402BEF" w:rsidRDefault="00424FD5" w:rsidP="00424FD5">
            <w:pPr>
              <w:keepNext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HARQ-ACK delay:</w:t>
            </w:r>
          </w:p>
          <w:p w14:paraId="456F76F6" w14:textId="77777777" w:rsidR="00424FD5" w:rsidRPr="00402BEF" w:rsidRDefault="00424FD5" w:rsidP="00424FD5">
            <w:pPr>
              <w:keepNext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Alt-1: The HARQ-ACK delay is determined through an expression consisting of different subframe types (Using a similar principle as the PDSCH scheduling delay).</w:t>
            </w:r>
          </w:p>
          <w:p w14:paraId="603391FC" w14:textId="77777777" w:rsidR="00424FD5" w:rsidRPr="00402BEF" w:rsidRDefault="00424FD5" w:rsidP="00424FD5">
            <w:pPr>
              <w:keepNext/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Alt-2e: The HARQ-ACK delay is determined following the legacy approach. That is, the “HARQ-ACK delay” is kept expressed in terms of “absolute subframes”.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4497D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 xml:space="preserve">Optional with capability </w:t>
            </w:r>
            <w:proofErr w:type="spellStart"/>
            <w:r w:rsidRPr="00402BEF">
              <w:rPr>
                <w:rFonts w:ascii="Arial" w:hAnsi="Arial" w:cs="Arial"/>
                <w:sz w:val="18"/>
                <w:szCs w:val="28"/>
              </w:rPr>
              <w:t>signaling</w:t>
            </w:r>
            <w:proofErr w:type="spellEnd"/>
          </w:p>
        </w:tc>
      </w:tr>
    </w:tbl>
    <w:p w14:paraId="6C9E14EA" w14:textId="77777777" w:rsidR="00424FD5" w:rsidRPr="001802DF" w:rsidRDefault="00424FD5" w:rsidP="00424FD5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0795451B" w14:textId="77777777" w:rsidR="00424FD5" w:rsidRDefault="00424FD5" w:rsidP="00424FD5">
      <w:pPr>
        <w:rPr>
          <w:lang w:val="en-US" w:eastAsia="x-none"/>
        </w:rPr>
      </w:pPr>
    </w:p>
    <w:p w14:paraId="0488C619" w14:textId="77777777" w:rsidR="00424FD5" w:rsidRPr="001802DF" w:rsidRDefault="00424FD5" w:rsidP="00424FD5">
      <w:pPr>
        <w:rPr>
          <w:rFonts w:eastAsia="Yu Gothic" w:cs="Times"/>
          <w:b/>
          <w:bCs/>
          <w:highlight w:val="green"/>
          <w:lang w:val="en-US"/>
        </w:rPr>
      </w:pPr>
      <w:r w:rsidRPr="001802DF">
        <w:rPr>
          <w:rFonts w:cs="Times"/>
          <w:b/>
          <w:bCs/>
          <w:highlight w:val="green"/>
        </w:rPr>
        <w:t xml:space="preserve">Agreement </w:t>
      </w:r>
    </w:p>
    <w:p w14:paraId="0E2463C8" w14:textId="77777777" w:rsidR="00424FD5" w:rsidRPr="005717B4" w:rsidRDefault="00424FD5" w:rsidP="00424FD5">
      <w:pPr>
        <w:rPr>
          <w:rFonts w:cs="Times"/>
          <w:bCs/>
        </w:rPr>
      </w:pPr>
      <w:r w:rsidRPr="005717B4">
        <w:rPr>
          <w:rFonts w:cs="Times"/>
          <w:bCs/>
        </w:rPr>
        <w:t>FG 1-1 is kept as “16-QAM for unicast NPDSCH” as follows</w:t>
      </w:r>
      <w:r>
        <w:rPr>
          <w:rFonts w:cs="Times"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6"/>
        <w:gridCol w:w="1096"/>
        <w:gridCol w:w="1478"/>
        <w:gridCol w:w="1563"/>
        <w:gridCol w:w="1550"/>
        <w:gridCol w:w="1712"/>
        <w:gridCol w:w="1708"/>
        <w:gridCol w:w="1470"/>
        <w:gridCol w:w="803"/>
        <w:gridCol w:w="1895"/>
        <w:gridCol w:w="1899"/>
        <w:gridCol w:w="1041"/>
        <w:gridCol w:w="1958"/>
      </w:tblGrid>
      <w:tr w:rsidR="00424FD5" w:rsidRPr="00402BEF" w14:paraId="25EAC4F3" w14:textId="77777777" w:rsidTr="006E2AE0"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4BA10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1. NB_IOTenh4_LTE_eMTC6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B974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1-1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4F1C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402BEF">
              <w:rPr>
                <w:rFonts w:ascii="Arial" w:hAnsi="Arial" w:cs="Arial"/>
                <w:sz w:val="18"/>
                <w:szCs w:val="28"/>
                <w:lang w:eastAsia="zh-CN"/>
              </w:rPr>
              <w:t>16-QAM for unicast NPDSCH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4D950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val="en-US" w:eastAsia="zh-CN"/>
              </w:rPr>
            </w:pPr>
            <w:r w:rsidRPr="00402BEF">
              <w:rPr>
                <w:rFonts w:ascii="Arial" w:hAnsi="Arial" w:cs="Arial"/>
                <w:sz w:val="18"/>
                <w:szCs w:val="28"/>
                <w:lang w:eastAsia="zh-CN"/>
              </w:rPr>
              <w:t>1. Reception of unicast NPDSCH modulated with 16-QAM</w:t>
            </w:r>
          </w:p>
          <w:p w14:paraId="45519A5E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402BEF">
              <w:rPr>
                <w:rFonts w:ascii="Arial" w:hAnsi="Arial" w:cs="Arial"/>
                <w:sz w:val="18"/>
                <w:szCs w:val="28"/>
                <w:lang w:eastAsia="zh-CN"/>
              </w:rPr>
              <w:t>2. CQI report to support 16-QAM modulation</w:t>
            </w:r>
          </w:p>
          <w:p w14:paraId="669BECDA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zh-CN"/>
              </w:rPr>
            </w:pPr>
            <w:r w:rsidRPr="00402BEF">
              <w:rPr>
                <w:rFonts w:ascii="Arial" w:hAnsi="Arial" w:cs="Arial"/>
                <w:sz w:val="18"/>
                <w:szCs w:val="28"/>
                <w:lang w:eastAsia="zh-CN"/>
              </w:rPr>
              <w:t>3. Downlink power allocation for 16-QAM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45D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Category NB-2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5BFA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Yes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BAF2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E95D4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The network cannot schedule a unicast NPDSCH modulated with 16-QAM for the UE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6BD8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Per UE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1EA3E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[Yes]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40C36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N/A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5C9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100D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 xml:space="preserve">Optional with capability </w:t>
            </w:r>
            <w:proofErr w:type="spellStart"/>
            <w:r w:rsidRPr="00402BEF">
              <w:rPr>
                <w:rFonts w:ascii="Arial" w:hAnsi="Arial" w:cs="Arial"/>
                <w:sz w:val="18"/>
                <w:szCs w:val="28"/>
              </w:rPr>
              <w:t>signaling</w:t>
            </w:r>
            <w:proofErr w:type="spellEnd"/>
          </w:p>
        </w:tc>
      </w:tr>
    </w:tbl>
    <w:p w14:paraId="3A926C6E" w14:textId="77777777" w:rsidR="00424FD5" w:rsidRPr="001802DF" w:rsidRDefault="00424FD5" w:rsidP="00424FD5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1E567CBF" w14:textId="77777777" w:rsidR="00424FD5" w:rsidRDefault="00424FD5" w:rsidP="00424FD5">
      <w:pPr>
        <w:rPr>
          <w:rFonts w:ascii="Segoe UI" w:eastAsia="Yu Gothic" w:hAnsi="Segoe UI" w:cs="Segoe UI"/>
          <w:lang w:val="en-US"/>
        </w:rPr>
      </w:pPr>
    </w:p>
    <w:p w14:paraId="76FC7B7B" w14:textId="77777777" w:rsidR="00424FD5" w:rsidRPr="001802DF" w:rsidRDefault="00424FD5" w:rsidP="00424FD5">
      <w:pPr>
        <w:rPr>
          <w:rFonts w:eastAsia="Yu Gothic" w:cs="Times"/>
          <w:b/>
          <w:bCs/>
          <w:highlight w:val="green"/>
          <w:lang w:val="en-US"/>
        </w:rPr>
      </w:pPr>
      <w:r w:rsidRPr="001802DF">
        <w:rPr>
          <w:rFonts w:cs="Times"/>
          <w:b/>
          <w:bCs/>
          <w:highlight w:val="green"/>
        </w:rPr>
        <w:t xml:space="preserve">Agreement </w:t>
      </w:r>
    </w:p>
    <w:p w14:paraId="4F1A248E" w14:textId="77777777" w:rsidR="00424FD5" w:rsidRPr="005717B4" w:rsidRDefault="00424FD5" w:rsidP="00424FD5">
      <w:pPr>
        <w:rPr>
          <w:rFonts w:cs="Times"/>
          <w:bCs/>
        </w:rPr>
      </w:pPr>
      <w:r w:rsidRPr="005717B4">
        <w:rPr>
          <w:rFonts w:cs="Times"/>
          <w:bCs/>
        </w:rPr>
        <w:t>FG 1-2 is kept as “16-QAM for unicast NPUSCH” as follows</w:t>
      </w:r>
      <w:r>
        <w:rPr>
          <w:rFonts w:cs="Times"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8"/>
        <w:gridCol w:w="1080"/>
        <w:gridCol w:w="1458"/>
        <w:gridCol w:w="1747"/>
        <w:gridCol w:w="1533"/>
        <w:gridCol w:w="1691"/>
        <w:gridCol w:w="1691"/>
        <w:gridCol w:w="1470"/>
        <w:gridCol w:w="803"/>
        <w:gridCol w:w="1856"/>
        <w:gridCol w:w="1882"/>
        <w:gridCol w:w="1019"/>
        <w:gridCol w:w="1941"/>
      </w:tblGrid>
      <w:tr w:rsidR="00424FD5" w:rsidRPr="00402BEF" w14:paraId="3C16C06C" w14:textId="77777777" w:rsidTr="006E2AE0"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933A1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1. NB_IOTenh4_LTE_eMTC6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E6B5F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1-2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A0B1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16-QAM for unicast NPUSCH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7E9DC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1. Transmission of unicast NPUSCH modulated with 16-QAM</w:t>
            </w:r>
          </w:p>
          <w:p w14:paraId="655396D4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2. New term in the UE’s transmit power control equation.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E313C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Category NB-2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3AC0E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Yes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C6614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51B0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The network cannot schedule a unicast NPUSCH modulated with 16-QAM for the UE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CEDC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Per UE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E964E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[Yes]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F3A6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N/A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DB7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ADB2A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 xml:space="preserve">Optional with capability </w:t>
            </w:r>
            <w:proofErr w:type="spellStart"/>
            <w:r w:rsidRPr="00402BEF">
              <w:rPr>
                <w:rFonts w:ascii="Arial" w:hAnsi="Arial" w:cs="Arial"/>
                <w:sz w:val="18"/>
                <w:szCs w:val="28"/>
              </w:rPr>
              <w:t>signaling</w:t>
            </w:r>
            <w:proofErr w:type="spellEnd"/>
          </w:p>
        </w:tc>
      </w:tr>
    </w:tbl>
    <w:p w14:paraId="4FE0B883" w14:textId="77777777" w:rsidR="00424FD5" w:rsidRPr="001802DF" w:rsidRDefault="00424FD5" w:rsidP="00424FD5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7B136C27" w14:textId="77777777" w:rsidR="00424FD5" w:rsidRDefault="00424FD5" w:rsidP="00424FD5">
      <w:pPr>
        <w:rPr>
          <w:rFonts w:ascii="Segoe UI" w:eastAsia="Yu Gothic" w:hAnsi="Segoe UI" w:cs="Segoe UI"/>
          <w:lang w:val="en-US"/>
        </w:rPr>
      </w:pPr>
    </w:p>
    <w:p w14:paraId="332909F5" w14:textId="77777777" w:rsidR="00424FD5" w:rsidRPr="001802DF" w:rsidRDefault="00424FD5" w:rsidP="00424FD5">
      <w:pPr>
        <w:rPr>
          <w:rFonts w:eastAsia="Yu Gothic" w:cs="Times"/>
          <w:b/>
          <w:bCs/>
          <w:highlight w:val="green"/>
          <w:lang w:val="en-US"/>
        </w:rPr>
      </w:pPr>
      <w:r w:rsidRPr="001802DF">
        <w:rPr>
          <w:rFonts w:cs="Times"/>
          <w:b/>
          <w:bCs/>
          <w:highlight w:val="green"/>
        </w:rPr>
        <w:t xml:space="preserve">Agreement </w:t>
      </w:r>
    </w:p>
    <w:p w14:paraId="486FC429" w14:textId="77777777" w:rsidR="00424FD5" w:rsidRPr="005717B4" w:rsidRDefault="00424FD5" w:rsidP="00424FD5">
      <w:pPr>
        <w:rPr>
          <w:rFonts w:cs="Times"/>
          <w:bCs/>
        </w:rPr>
      </w:pPr>
      <w:r w:rsidRPr="005717B4">
        <w:rPr>
          <w:rFonts w:cs="Times"/>
          <w:bCs/>
        </w:rPr>
        <w:t xml:space="preserve">FG 1-4 is kept as “A maximum DL TBS of 1736 bits for HD-FDD Cat. M1 </w:t>
      </w:r>
      <w:proofErr w:type="spellStart"/>
      <w:r w:rsidRPr="005717B4">
        <w:rPr>
          <w:rFonts w:cs="Times"/>
          <w:bCs/>
        </w:rPr>
        <w:t>Ues</w:t>
      </w:r>
      <w:proofErr w:type="spellEnd"/>
      <w:r w:rsidRPr="005717B4">
        <w:rPr>
          <w:rFonts w:cs="Times"/>
          <w:bCs/>
        </w:rPr>
        <w:t xml:space="preserve"> in CE mode A only” as follows</w:t>
      </w:r>
      <w:r>
        <w:rPr>
          <w:rFonts w:cs="Times"/>
          <w:bCs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1028"/>
        <w:gridCol w:w="1419"/>
        <w:gridCol w:w="2417"/>
        <w:gridCol w:w="1482"/>
        <w:gridCol w:w="1631"/>
        <w:gridCol w:w="1631"/>
        <w:gridCol w:w="1330"/>
        <w:gridCol w:w="803"/>
        <w:gridCol w:w="1750"/>
        <w:gridCol w:w="1822"/>
        <w:gridCol w:w="973"/>
        <w:gridCol w:w="1886"/>
      </w:tblGrid>
      <w:tr w:rsidR="00424FD5" w:rsidRPr="00402BEF" w14:paraId="25F3887A" w14:textId="77777777" w:rsidTr="006E2AE0"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2FAA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  <w:lang w:eastAsia="ko-KR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lastRenderedPageBreak/>
              <w:t>1. NB_IOTenh4_LTE_eMTC6</w:t>
            </w:r>
          </w:p>
        </w:tc>
        <w:tc>
          <w:tcPr>
            <w:tcW w:w="2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4D4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1-4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38F7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 xml:space="preserve">A maximum DL TBS of 1736 bits for HD-FDD Cat. M1 </w:t>
            </w:r>
            <w:proofErr w:type="spellStart"/>
            <w:r w:rsidRPr="00402BEF">
              <w:rPr>
                <w:rFonts w:ascii="Arial" w:hAnsi="Arial" w:cs="Arial"/>
                <w:sz w:val="18"/>
                <w:szCs w:val="28"/>
              </w:rPr>
              <w:t>Ues</w:t>
            </w:r>
            <w:proofErr w:type="spellEnd"/>
            <w:r w:rsidRPr="00402BEF">
              <w:rPr>
                <w:rFonts w:ascii="Arial" w:hAnsi="Arial" w:cs="Arial"/>
                <w:sz w:val="18"/>
                <w:szCs w:val="28"/>
              </w:rPr>
              <w:t xml:space="preserve"> in CE mode A only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557F7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1. Support of 1736 bits max DL TBS for unicast in HD-FDD in CE mode A in RRC_CONNECTED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5881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1. Category M1</w:t>
            </w:r>
          </w:p>
          <w:p w14:paraId="1D0C0211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2. HD-FDD</w:t>
            </w:r>
          </w:p>
          <w:p w14:paraId="70B7F84D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3. CE Mode A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D8FAB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Yes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D69F6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F037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 xml:space="preserve">The network cannot schedule a PDSCH with TBS larger than 1000 bits for Cat. M1 </w:t>
            </w:r>
            <w:proofErr w:type="spellStart"/>
            <w:r w:rsidRPr="00402BEF">
              <w:rPr>
                <w:rFonts w:ascii="Arial" w:hAnsi="Arial" w:cs="Arial"/>
                <w:sz w:val="18"/>
                <w:szCs w:val="28"/>
              </w:rPr>
              <w:t>Ues</w:t>
            </w:r>
            <w:proofErr w:type="spellEnd"/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2C8B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color w:val="000000"/>
                <w:sz w:val="18"/>
                <w:szCs w:val="28"/>
              </w:rPr>
              <w:t>Per UE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C409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FDD only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6A8F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A8E5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C34D4" w14:textId="77777777" w:rsidR="00424FD5" w:rsidRPr="00402BEF" w:rsidRDefault="00424FD5" w:rsidP="006E2AE0">
            <w:pPr>
              <w:keepNext/>
              <w:rPr>
                <w:rFonts w:ascii="Arial" w:hAnsi="Arial" w:cs="Arial"/>
                <w:sz w:val="18"/>
                <w:szCs w:val="28"/>
              </w:rPr>
            </w:pPr>
            <w:r w:rsidRPr="00402BEF">
              <w:rPr>
                <w:rFonts w:ascii="Arial" w:hAnsi="Arial" w:cs="Arial"/>
                <w:sz w:val="18"/>
                <w:szCs w:val="28"/>
              </w:rPr>
              <w:t xml:space="preserve">Optional with capability </w:t>
            </w:r>
            <w:proofErr w:type="spellStart"/>
            <w:r w:rsidRPr="00402BEF">
              <w:rPr>
                <w:rFonts w:ascii="Arial" w:hAnsi="Arial" w:cs="Arial"/>
                <w:sz w:val="18"/>
                <w:szCs w:val="28"/>
              </w:rPr>
              <w:t>signaling</w:t>
            </w:r>
            <w:proofErr w:type="spellEnd"/>
          </w:p>
        </w:tc>
      </w:tr>
    </w:tbl>
    <w:p w14:paraId="0AC77389" w14:textId="77777777" w:rsidR="00424FD5" w:rsidRPr="001802DF" w:rsidRDefault="00424FD5" w:rsidP="00424FD5">
      <w:pPr>
        <w:rPr>
          <w:rFonts w:eastAsia="Yu Gothic" w:cs="Times"/>
          <w:lang w:val="en-US"/>
        </w:rPr>
      </w:pPr>
      <w:r>
        <w:rPr>
          <w:rFonts w:eastAsia="Yu Gothic" w:cs="Times"/>
          <w:lang w:val="en-US"/>
        </w:rPr>
        <w:t>N</w:t>
      </w:r>
      <w:r w:rsidRPr="001802DF">
        <w:rPr>
          <w:rFonts w:eastAsia="Yu Gothic" w:cs="Times"/>
          <w:lang w:val="en-US"/>
        </w:rPr>
        <w:t xml:space="preserve">ote that </w:t>
      </w:r>
      <w:r>
        <w:rPr>
          <w:rFonts w:eastAsia="Yu Gothic" w:cs="Times"/>
          <w:lang w:val="en-US"/>
        </w:rPr>
        <w:t>yellow</w:t>
      </w:r>
      <w:r w:rsidRPr="001802DF">
        <w:rPr>
          <w:rFonts w:eastAsia="Yu Gothic" w:cs="Times"/>
          <w:lang w:val="en-US"/>
        </w:rPr>
        <w:t xml:space="preserve"> highlight mean</w:t>
      </w:r>
      <w:r>
        <w:rPr>
          <w:rFonts w:eastAsia="Yu Gothic" w:cs="Times"/>
          <w:lang w:val="en-US"/>
        </w:rPr>
        <w:t>s</w:t>
      </w:r>
      <w:r w:rsidRPr="001802DF">
        <w:rPr>
          <w:rFonts w:eastAsia="Yu Gothic" w:cs="Times"/>
          <w:lang w:val="en-US"/>
        </w:rPr>
        <w:t xml:space="preserve"> FFS and to be discussed further. These parts are </w:t>
      </w:r>
      <w:proofErr w:type="gramStart"/>
      <w:r w:rsidRPr="001802DF">
        <w:rPr>
          <w:rFonts w:eastAsia="Yu Gothic" w:cs="Times"/>
          <w:lang w:val="en-US"/>
        </w:rPr>
        <w:t>provides</w:t>
      </w:r>
      <w:proofErr w:type="gramEnd"/>
      <w:r w:rsidRPr="001802DF">
        <w:rPr>
          <w:rFonts w:eastAsia="Yu Gothic" w:cs="Times"/>
          <w:lang w:val="en-US"/>
        </w:rPr>
        <w:t xml:space="preserve"> as placeholders.</w:t>
      </w:r>
    </w:p>
    <w:p w14:paraId="20A7FFA0" w14:textId="77777777" w:rsidR="00424FD5" w:rsidRPr="00402BEF" w:rsidRDefault="00424FD5" w:rsidP="00424FD5">
      <w:pPr>
        <w:spacing w:afterLines="50" w:after="120"/>
        <w:jc w:val="both"/>
        <w:rPr>
          <w:sz w:val="22"/>
          <w:lang w:val="en-US"/>
        </w:rPr>
      </w:pPr>
    </w:p>
    <w:p w14:paraId="68066115" w14:textId="77777777" w:rsidR="00424FD5" w:rsidRDefault="00424FD5" w:rsidP="00424FD5">
      <w:pPr>
        <w:spacing w:afterLines="50" w:after="120"/>
        <w:jc w:val="both"/>
        <w:rPr>
          <w:b/>
          <w:bCs/>
          <w:szCs w:val="21"/>
          <w:lang w:val="en-US"/>
        </w:rPr>
      </w:pPr>
      <w:r w:rsidRPr="00CB604F">
        <w:rPr>
          <w:b/>
          <w:bCs/>
          <w:szCs w:val="21"/>
          <w:highlight w:val="green"/>
          <w:lang w:val="en-US"/>
        </w:rPr>
        <w:t>Agreement</w:t>
      </w:r>
    </w:p>
    <w:p w14:paraId="57C7592A" w14:textId="77777777" w:rsidR="00424FD5" w:rsidRPr="00005966" w:rsidRDefault="00424FD5" w:rsidP="00424FD5">
      <w:pPr>
        <w:pStyle w:val="ListParagraph"/>
        <w:numPr>
          <w:ilvl w:val="0"/>
          <w:numId w:val="30"/>
        </w:numPr>
        <w:ind w:left="482" w:hanging="482"/>
        <w:contextualSpacing w:val="0"/>
        <w:rPr>
          <w:rFonts w:eastAsiaTheme="minorEastAsia"/>
          <w:szCs w:val="21"/>
          <w:lang w:val="en-US"/>
        </w:rPr>
      </w:pPr>
      <w:r w:rsidRPr="00005966">
        <w:rPr>
          <w:szCs w:val="21"/>
          <w:lang w:val="en-US"/>
        </w:rPr>
        <w:t>For component 3 in FG 1-3, select one of the following options:</w:t>
      </w:r>
    </w:p>
    <w:p w14:paraId="15B487BD" w14:textId="77777777" w:rsidR="00424FD5" w:rsidRPr="00005966" w:rsidRDefault="00424FD5" w:rsidP="00424FD5">
      <w:pPr>
        <w:pStyle w:val="ListParagraph"/>
        <w:numPr>
          <w:ilvl w:val="1"/>
          <w:numId w:val="30"/>
        </w:numPr>
        <w:contextualSpacing w:val="0"/>
        <w:rPr>
          <w:rFonts w:eastAsiaTheme="minorEastAsia"/>
          <w:szCs w:val="21"/>
          <w:lang w:val="en-US"/>
        </w:rPr>
      </w:pPr>
      <w:r w:rsidRPr="00005966">
        <w:rPr>
          <w:szCs w:val="21"/>
          <w:lang w:val="en-US"/>
        </w:rPr>
        <w:t xml:space="preserve">Option 1: UE reports one of </w:t>
      </w:r>
      <w:r w:rsidRPr="00005966">
        <w:rPr>
          <w:rFonts w:eastAsia="MS PGothic"/>
          <w:color w:val="000000" w:themeColor="text1"/>
          <w:lang w:val="en-US"/>
        </w:rPr>
        <w:t>{alt1, alt2-e, both}</w:t>
      </w:r>
    </w:p>
    <w:p w14:paraId="49C80B37" w14:textId="77777777" w:rsidR="00424FD5" w:rsidRPr="00005966" w:rsidRDefault="00424FD5" w:rsidP="00424FD5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Theme="minorEastAsia"/>
          <w:szCs w:val="21"/>
          <w:lang w:val="en-US"/>
        </w:rPr>
      </w:pPr>
      <w:r w:rsidRPr="00005966">
        <w:rPr>
          <w:szCs w:val="21"/>
          <w:lang w:val="en-US"/>
        </w:rPr>
        <w:t>Option 2: UE supports both Alt-1 and Alt-2e</w:t>
      </w:r>
    </w:p>
    <w:p w14:paraId="1A63279B" w14:textId="77777777" w:rsidR="00424FD5" w:rsidRDefault="00424FD5" w:rsidP="00424FD5">
      <w:pPr>
        <w:spacing w:afterLines="50" w:after="120"/>
        <w:jc w:val="both"/>
        <w:rPr>
          <w:sz w:val="22"/>
        </w:rPr>
      </w:pPr>
    </w:p>
    <w:p w14:paraId="68F32AFD" w14:textId="77777777" w:rsidR="00424FD5" w:rsidRDefault="00424FD5" w:rsidP="00424FD5">
      <w:pPr>
        <w:spacing w:afterLines="50" w:after="120"/>
        <w:jc w:val="both"/>
        <w:rPr>
          <w:b/>
          <w:bCs/>
          <w:szCs w:val="21"/>
          <w:lang w:val="en-US"/>
        </w:rPr>
      </w:pPr>
      <w:r w:rsidRPr="00F92ED8">
        <w:rPr>
          <w:b/>
          <w:bCs/>
          <w:szCs w:val="21"/>
          <w:highlight w:val="green"/>
          <w:lang w:val="en-US"/>
        </w:rPr>
        <w:t>Agreement</w:t>
      </w:r>
    </w:p>
    <w:p w14:paraId="53C52944" w14:textId="77777777" w:rsidR="00424FD5" w:rsidRPr="000729D9" w:rsidRDefault="00424FD5" w:rsidP="00424FD5">
      <w:pPr>
        <w:pStyle w:val="ListParagraph"/>
        <w:numPr>
          <w:ilvl w:val="0"/>
          <w:numId w:val="30"/>
        </w:numPr>
        <w:ind w:left="482" w:hanging="482"/>
        <w:contextualSpacing w:val="0"/>
        <w:rPr>
          <w:rFonts w:eastAsiaTheme="minorEastAsia"/>
          <w:szCs w:val="21"/>
          <w:lang w:val="en-US"/>
        </w:rPr>
      </w:pPr>
      <w:r w:rsidRPr="000729D9">
        <w:rPr>
          <w:szCs w:val="21"/>
          <w:lang w:val="en-US"/>
        </w:rPr>
        <w:t>Following features are removed from the prerequisite feature groups for FG 1-3</w:t>
      </w:r>
    </w:p>
    <w:p w14:paraId="4DCCEB1F" w14:textId="77777777" w:rsidR="00424FD5" w:rsidRPr="000729D9" w:rsidRDefault="00424FD5" w:rsidP="00424FD5">
      <w:pPr>
        <w:pStyle w:val="ListParagraph"/>
        <w:numPr>
          <w:ilvl w:val="1"/>
          <w:numId w:val="30"/>
        </w:numPr>
        <w:contextualSpacing w:val="0"/>
        <w:rPr>
          <w:rFonts w:eastAsiaTheme="minorEastAsia"/>
          <w:szCs w:val="21"/>
          <w:lang w:val="en-US"/>
        </w:rPr>
      </w:pPr>
      <w:r w:rsidRPr="000729D9">
        <w:rPr>
          <w:rFonts w:eastAsiaTheme="minorEastAsia"/>
          <w:szCs w:val="21"/>
          <w:lang w:val="en-US"/>
        </w:rPr>
        <w:t xml:space="preserve">CE Mode A </w:t>
      </w:r>
    </w:p>
    <w:p w14:paraId="4964E0CC" w14:textId="77777777" w:rsidR="00424FD5" w:rsidRPr="000729D9" w:rsidRDefault="00424FD5" w:rsidP="00424FD5">
      <w:pPr>
        <w:pStyle w:val="ListParagraph"/>
        <w:numPr>
          <w:ilvl w:val="1"/>
          <w:numId w:val="30"/>
        </w:numPr>
        <w:contextualSpacing w:val="0"/>
        <w:rPr>
          <w:rFonts w:eastAsiaTheme="minorEastAsia"/>
          <w:szCs w:val="21"/>
          <w:lang w:val="en-US"/>
        </w:rPr>
      </w:pPr>
      <w:r w:rsidRPr="000729D9">
        <w:rPr>
          <w:rFonts w:eastAsiaTheme="minorEastAsia"/>
          <w:szCs w:val="21"/>
          <w:lang w:val="en-US"/>
        </w:rPr>
        <w:t>Support of 10 DL HARQ processes in HD-FDD in CE mode A</w:t>
      </w:r>
    </w:p>
    <w:p w14:paraId="3E10D876" w14:textId="77777777" w:rsidR="00424FD5" w:rsidRPr="000729D9" w:rsidRDefault="00424FD5" w:rsidP="00424FD5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rFonts w:eastAsiaTheme="minorEastAsia"/>
          <w:szCs w:val="21"/>
          <w:lang w:val="en-US"/>
        </w:rPr>
      </w:pPr>
      <w:r w:rsidRPr="000729D9">
        <w:rPr>
          <w:rFonts w:eastAsiaTheme="minorEastAsia"/>
          <w:szCs w:val="21"/>
          <w:lang w:val="en-US"/>
        </w:rPr>
        <w:t>HARQ-ACK bundling support in HD-FDD in CE mode A</w:t>
      </w:r>
    </w:p>
    <w:p w14:paraId="274D055B" w14:textId="77777777" w:rsidR="00424FD5" w:rsidRDefault="00424FD5" w:rsidP="00424FD5">
      <w:pPr>
        <w:spacing w:afterLines="50" w:after="120"/>
        <w:jc w:val="both"/>
        <w:rPr>
          <w:sz w:val="22"/>
        </w:rPr>
      </w:pPr>
    </w:p>
    <w:p w14:paraId="50D32968" w14:textId="77777777" w:rsidR="00424FD5" w:rsidRDefault="00424FD5" w:rsidP="00424FD5">
      <w:pPr>
        <w:spacing w:afterLines="50" w:after="120"/>
        <w:jc w:val="both"/>
        <w:rPr>
          <w:b/>
          <w:bCs/>
          <w:szCs w:val="21"/>
          <w:lang w:val="en-US"/>
        </w:rPr>
      </w:pPr>
      <w:r w:rsidRPr="000F4928">
        <w:rPr>
          <w:b/>
          <w:bCs/>
          <w:szCs w:val="21"/>
          <w:highlight w:val="green"/>
          <w:lang w:val="en-US"/>
        </w:rPr>
        <w:t>Agreement</w:t>
      </w:r>
    </w:p>
    <w:p w14:paraId="4FE86135" w14:textId="77777777" w:rsidR="00424FD5" w:rsidRPr="0071692F" w:rsidRDefault="00424FD5" w:rsidP="00424FD5">
      <w:pPr>
        <w:pStyle w:val="ListParagraph"/>
        <w:numPr>
          <w:ilvl w:val="0"/>
          <w:numId w:val="30"/>
        </w:numPr>
        <w:spacing w:afterLines="50" w:after="120"/>
        <w:contextualSpacing w:val="0"/>
        <w:jc w:val="both"/>
        <w:rPr>
          <w:sz w:val="22"/>
        </w:rPr>
      </w:pPr>
      <w:r w:rsidRPr="0071692F">
        <w:rPr>
          <w:szCs w:val="21"/>
          <w:lang w:val="en-US"/>
        </w:rPr>
        <w:t>CE Mode A is removed from the prerequisite feature groups for FG 1-4</w:t>
      </w:r>
    </w:p>
    <w:p w14:paraId="20E613B6" w14:textId="77777777" w:rsidR="00424FD5" w:rsidRDefault="00424FD5" w:rsidP="00424FD5">
      <w:pPr>
        <w:spacing w:afterLines="50" w:after="120"/>
        <w:jc w:val="both"/>
        <w:rPr>
          <w:sz w:val="22"/>
        </w:rPr>
      </w:pPr>
    </w:p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1332EB" w:rsidRDefault="001332EB">
      <w:r>
        <w:separator/>
      </w:r>
    </w:p>
  </w:endnote>
  <w:endnote w:type="continuationSeparator" w:id="0">
    <w:p w14:paraId="3C8173DC" w14:textId="77777777" w:rsidR="001332EB" w:rsidRDefault="0013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266714" w:rsidRDefault="00266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266714" w:rsidRDefault="00266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266714" w:rsidRDefault="00266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1332EB" w:rsidRDefault="001332EB">
      <w:r>
        <w:separator/>
      </w:r>
    </w:p>
  </w:footnote>
  <w:footnote w:type="continuationSeparator" w:id="0">
    <w:p w14:paraId="24D7F7FF" w14:textId="77777777" w:rsidR="001332EB" w:rsidRDefault="0013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266714" w:rsidRDefault="00266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266714" w:rsidRDefault="00266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266714" w:rsidRDefault="00266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CFA47D7"/>
    <w:multiLevelType w:val="hybridMultilevel"/>
    <w:tmpl w:val="D802421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56A84"/>
    <w:multiLevelType w:val="multilevel"/>
    <w:tmpl w:val="2CF56A8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1174F"/>
    <w:multiLevelType w:val="hybridMultilevel"/>
    <w:tmpl w:val="F1B8A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5"/>
  </w:num>
  <w:num w:numId="3">
    <w:abstractNumId w:val="0"/>
  </w:num>
  <w:num w:numId="4">
    <w:abstractNumId w:val="2"/>
  </w:num>
  <w:num w:numId="5">
    <w:abstractNumId w:val="15"/>
  </w:num>
  <w:num w:numId="6">
    <w:abstractNumId w:val="26"/>
  </w:num>
  <w:num w:numId="7">
    <w:abstractNumId w:val="17"/>
  </w:num>
  <w:num w:numId="8">
    <w:abstractNumId w:val="14"/>
  </w:num>
  <w:num w:numId="9">
    <w:abstractNumId w:val="30"/>
  </w:num>
  <w:num w:numId="10">
    <w:abstractNumId w:val="4"/>
  </w:num>
  <w:num w:numId="11">
    <w:abstractNumId w:val="19"/>
  </w:num>
  <w:num w:numId="12">
    <w:abstractNumId w:val="3"/>
  </w:num>
  <w:num w:numId="13">
    <w:abstractNumId w:val="12"/>
  </w:num>
  <w:num w:numId="14">
    <w:abstractNumId w:val="23"/>
  </w:num>
  <w:num w:numId="15">
    <w:abstractNumId w:val="16"/>
  </w:num>
  <w:num w:numId="16">
    <w:abstractNumId w:val="1"/>
  </w:num>
  <w:num w:numId="17">
    <w:abstractNumId w:val="21"/>
  </w:num>
  <w:num w:numId="18">
    <w:abstractNumId w:val="13"/>
  </w:num>
  <w:num w:numId="19">
    <w:abstractNumId w:val="18"/>
  </w:num>
  <w:num w:numId="20">
    <w:abstractNumId w:val="29"/>
  </w:num>
  <w:num w:numId="21">
    <w:abstractNumId w:val="31"/>
  </w:num>
  <w:num w:numId="22">
    <w:abstractNumId w:val="20"/>
  </w:num>
  <w:num w:numId="23">
    <w:abstractNumId w:val="11"/>
  </w:num>
  <w:num w:numId="24">
    <w:abstractNumId w:val="5"/>
  </w:num>
  <w:num w:numId="25">
    <w:abstractNumId w:val="27"/>
  </w:num>
  <w:num w:numId="26">
    <w:abstractNumId w:val="24"/>
  </w:num>
  <w:num w:numId="27">
    <w:abstractNumId w:val="9"/>
  </w:num>
  <w:num w:numId="28">
    <w:abstractNumId w:val="8"/>
  </w:num>
  <w:num w:numId="29">
    <w:abstractNumId w:val="22"/>
  </w:num>
  <w:num w:numId="30">
    <w:abstractNumId w:val="7"/>
  </w:num>
  <w:num w:numId="31">
    <w:abstractNumId w:val="10"/>
  </w:num>
  <w:num w:numId="32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97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4FD5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0A3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1A44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5AIRPNAIUNRU-1830940522-12541</_dlc_DocId>
    <_dlc_DocIdUrl xmlns="71c5aaf6-e6ce-465b-b873-5148d2a4c105">
      <Url>https://nokia.sharepoint.com/sites/c5g/5gradio/_layouts/15/DocIdRedir.aspx?ID=5AIRPNAIUNRU-1830940522-12541</Url>
      <Description>5AIRPNAIUNRU-1830940522-12541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766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5</cp:revision>
  <cp:lastPrinted>2016-06-20T11:35:00Z</cp:lastPrinted>
  <dcterms:created xsi:type="dcterms:W3CDTF">2021-10-28T11:27:00Z</dcterms:created>
  <dcterms:modified xsi:type="dcterms:W3CDTF">2021-11-05T08:55:00Z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6b6817f4-4fab-47d4-97db-37d74e0bb7b4</vt:lpwstr>
  </property>
</Properties>
</file>